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67FC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ЗАКОН</w:t>
      </w:r>
    </w:p>
    <w:p w14:paraId="66326B4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  </w:t>
      </w:r>
    </w:p>
    <w:p w14:paraId="27BF081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АСТРАХАНСКОЙ ОБЛАСТИ </w:t>
      </w:r>
    </w:p>
    <w:p w14:paraId="11C572F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  </w:t>
      </w:r>
    </w:p>
    <w:p w14:paraId="57672CD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О БЮДЖЕТЕ АСТРАХАНСКОЙ ОБЛАСТИ </w:t>
      </w:r>
    </w:p>
    <w:p w14:paraId="70619D4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12" w:lineRule="auto"/>
        <w:ind w:left="0" w:right="0"/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 xml:space="preserve">НА 2025 ГОД И НА ПЛАНОВЫЙ ПЕРИОД 2026 И 2027 ГОДОВ </w:t>
      </w:r>
    </w:p>
    <w:p w14:paraId="393AC05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both"/>
      </w:pPr>
      <w:r>
        <w:t xml:space="preserve">  </w:t>
      </w:r>
    </w:p>
    <w:p w14:paraId="754FC3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right"/>
      </w:pPr>
      <w:r>
        <w:t xml:space="preserve">Принят </w:t>
      </w:r>
    </w:p>
    <w:p w14:paraId="39425E8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right"/>
      </w:pPr>
      <w:r>
        <w:t xml:space="preserve">Думой </w:t>
      </w:r>
    </w:p>
    <w:p w14:paraId="5775B4C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right"/>
      </w:pPr>
      <w:r>
        <w:t xml:space="preserve">Астраханской области </w:t>
      </w:r>
    </w:p>
    <w:p w14:paraId="75F5B79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right"/>
      </w:pPr>
      <w:r>
        <w:t xml:space="preserve">10 декабря 2024 года </w:t>
      </w:r>
    </w:p>
    <w:p w14:paraId="7AE6AAD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both"/>
      </w:pPr>
      <w:r>
        <w:t xml:space="preserve">  </w:t>
      </w:r>
    </w:p>
    <w:p w14:paraId="46CE1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250" w:firstLineChars="125"/>
        <w:jc w:val="left"/>
        <w:textAlignment w:val="auto"/>
        <w:rPr>
          <w:rFonts w:hint="default" w:ascii="Calibri" w:hAnsi="Calibri" w:cs="Calibri"/>
          <w:i/>
          <w:iCs/>
          <w:sz w:val="24"/>
          <w:szCs w:val="24"/>
        </w:rPr>
      </w:pPr>
      <w:r>
        <w:t> </w:t>
      </w:r>
      <w:r>
        <w:rPr>
          <w:rFonts w:hint="default" w:ascii="Calibri" w:hAnsi="Calibri" w:eastAsia="SimSun" w:cs="Calibri"/>
          <w:i/>
          <w:iCs/>
          <w:kern w:val="0"/>
          <w:sz w:val="24"/>
          <w:szCs w:val="24"/>
          <w:lang w:val="en-US" w:eastAsia="zh-CN" w:bidi="ar"/>
        </w:rPr>
        <w:t xml:space="preserve">Закон Астраханской области от 16.12.2024 N 117/2024-ОЗ "О бюджете Астраханской области на 2025 год и на плановый период 2026 и 2027 годов" </w:t>
      </w:r>
    </w:p>
    <w:p w14:paraId="1077B2B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both"/>
      </w:pPr>
      <w:r>
        <w:t xml:space="preserve"> </w:t>
      </w:r>
    </w:p>
    <w:p w14:paraId="597A174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540"/>
        <w:jc w:val="both"/>
      </w:pPr>
      <w:r>
        <w:rPr>
          <w:rFonts w:hint="default" w:ascii="Arial" w:hAnsi="Arial" w:cs="Arial"/>
          <w:b/>
          <w:bCs/>
          <w:sz w:val="24"/>
          <w:szCs w:val="24"/>
        </w:rPr>
        <w:t>Статья 29</w:t>
      </w:r>
      <w:r>
        <w:t xml:space="preserve"> </w:t>
      </w:r>
    </w:p>
    <w:p w14:paraId="4A29E0C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both"/>
      </w:pPr>
      <w:r>
        <w:t xml:space="preserve">  </w:t>
      </w:r>
    </w:p>
    <w:p w14:paraId="70C03EF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 w:firstLine="540"/>
        <w:jc w:val="both"/>
      </w:pPr>
      <w:r>
        <w:t xml:space="preserve">1. Установить, что в 2025 году казначейскому сопровождению подлежат средства, получаемые на основании государственных контрактов, договоров (соглашений), контрактов (договоров), источником финансового обеспечения исполнения которых являются средства, предоставляемые из бюджета Астраханской области, включая остатки средств, в формах: </w:t>
      </w:r>
    </w:p>
    <w:p w14:paraId="3AE7F876">
      <w:pPr>
        <w:pStyle w:val="4"/>
        <w:keepNext w:val="0"/>
        <w:keepLines w:val="0"/>
        <w:widowControl/>
        <w:suppressLineNumbers w:val="0"/>
        <w:spacing w:before="165" w:beforeAutospacing="0" w:after="0" w:afterAutospacing="0" w:line="285" w:lineRule="atLeast"/>
        <w:ind w:left="0" w:right="0" w:firstLine="540"/>
        <w:jc w:val="both"/>
      </w:pPr>
      <w:r>
        <w:t xml:space="preserve">1) расчетов по государственным контрактам о поставке товаров, выполнении работ, оказании услуг, заключаемым на сумму 50000,0 тыс. рублей и более, для обеспечения государственных нужд Астраханской области; </w:t>
      </w:r>
    </w:p>
    <w:p w14:paraId="0606CEE8">
      <w:pPr>
        <w:pStyle w:val="4"/>
        <w:keepNext w:val="0"/>
        <w:keepLines w:val="0"/>
        <w:widowControl/>
        <w:suppressLineNumbers w:val="0"/>
        <w:spacing w:before="165" w:beforeAutospacing="0" w:after="0" w:afterAutospacing="0" w:line="285" w:lineRule="atLeast"/>
        <w:ind w:left="0" w:right="0" w:firstLine="540"/>
        <w:jc w:val="both"/>
      </w:pPr>
      <w:r>
        <w:t xml:space="preserve">2) субсидий юридическим лицам (за исключением субсидий бюджетным и автономным учреждениям) и бюджетных инвестиций юридическим лицам, предоставляемых в соответствии со </w:t>
      </w:r>
      <w:r>
        <w:rPr>
          <w:color w:val="auto"/>
          <w:u w:val="none"/>
        </w:rPr>
        <w:t>статьей 80</w:t>
      </w:r>
      <w:r>
        <w:t xml:space="preserve"> Бюджетного кодекса Российской Федерации; </w:t>
      </w:r>
    </w:p>
    <w:p w14:paraId="1867D962">
      <w:pPr>
        <w:pStyle w:val="4"/>
        <w:keepNext w:val="0"/>
        <w:keepLines w:val="0"/>
        <w:widowControl/>
        <w:suppressLineNumbers w:val="0"/>
        <w:spacing w:before="165" w:beforeAutospacing="0" w:after="0" w:afterAutospacing="0" w:line="285" w:lineRule="atLeast"/>
        <w:ind w:left="0" w:right="0" w:firstLine="540"/>
        <w:jc w:val="both"/>
      </w:pPr>
      <w:r>
        <w:t>3) взносов в уставные (ск</w:t>
      </w:r>
      <w:bookmarkStart w:id="0" w:name="_GoBack"/>
      <w:bookmarkEnd w:id="0"/>
      <w:r>
        <w:t xml:space="preserve">ладочные) капиталы юридических лиц (дочерних обществ юридических лиц), вкладов в имущество юридических лиц (дочерних обществ юридических лиц), не увеличивающих их уставные (складочные) капиталы, источником финансового обеспечения которых являются субсидии и бюджетные инвестиции, указанные в </w:t>
      </w:r>
      <w:r>
        <w:rPr>
          <w:color w:val="auto"/>
          <w:u w:val="none"/>
        </w:rPr>
        <w:t>пункте 2</w:t>
      </w:r>
      <w:r>
        <w:t xml:space="preserve"> настоящей части. </w:t>
      </w:r>
    </w:p>
    <w:p w14:paraId="2C7FCDF5">
      <w:pPr>
        <w:pStyle w:val="4"/>
        <w:keepNext w:val="0"/>
        <w:keepLines w:val="0"/>
        <w:widowControl/>
        <w:suppressLineNumbers w:val="0"/>
        <w:spacing w:before="165" w:beforeAutospacing="0" w:after="0" w:afterAutospacing="0" w:line="285" w:lineRule="atLeast"/>
        <w:ind w:left="0" w:right="0" w:firstLine="540"/>
        <w:jc w:val="both"/>
      </w:pPr>
      <w:r>
        <w:t xml:space="preserve">2. Положения </w:t>
      </w:r>
      <w:r>
        <w:rPr>
          <w:color w:val="auto"/>
          <w:u w:val="none"/>
        </w:rPr>
        <w:t>части 1</w:t>
      </w:r>
      <w:r>
        <w:t xml:space="preserve"> настоящей статьи не распространяются на средства, предоставляемые из бюджета Астраханской области Астраханскому фонду поддержки малого и среднего предпринимательства (микрокредитной компании), акционерному обществу "Корпорация развития Астраханской области", региональным средствам массовой информации. </w:t>
      </w:r>
    </w:p>
    <w:p w14:paraId="5FE4C197">
      <w:pPr>
        <w:pStyle w:val="4"/>
        <w:keepNext w:val="0"/>
        <w:keepLines w:val="0"/>
        <w:widowControl/>
        <w:suppressLineNumbers w:val="0"/>
        <w:spacing w:before="165" w:beforeAutospacing="0" w:after="0" w:afterAutospacing="0" w:line="285" w:lineRule="atLeast"/>
        <w:ind w:left="0" w:right="0" w:firstLine="540"/>
        <w:jc w:val="both"/>
      </w:pPr>
      <w:r>
        <w:t xml:space="preserve">3. Установить, что казначейское сопровождение средств, указанных в </w:t>
      </w:r>
      <w:r>
        <w:rPr>
          <w:color w:val="auto"/>
          <w:u w:val="none"/>
        </w:rPr>
        <w:t>части 1</w:t>
      </w:r>
      <w:r>
        <w:t xml:space="preserve"> настоящей статьи, осуществляется Управлением Федерального казначейства по Астраханской области. </w:t>
      </w:r>
    </w:p>
    <w:p w14:paraId="5E47B52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285" w:lineRule="atLeast"/>
        <w:ind w:left="0" w:right="0"/>
        <w:jc w:val="both"/>
      </w:pPr>
      <w:r>
        <w:t xml:space="preserve"> 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E2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2025-01-06T14:16:13Z</dcterms:created>
  <dc:creator>Руслан</dc:creator>
  <cp:lastModifiedBy>Руслан</cp:lastModifiedBy>
  <cp:lastPrinted>2025-01-06T14:26:01Z</cp:lastPrinted>
  <dcterms:modified xsi:type="dcterms:W3CDTF">2025-01-06T14:26:13Z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46DF2ACFB2EF460C8FA67D56DE09CD3F_12</vt:lpwstr>
  </property>
</Properties>
</file>